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0D3" w:rsidRDefault="00D610D3" w:rsidP="00D610D3">
      <w:pPr>
        <w:pStyle w:val="ConsPlusTitle"/>
        <w:jc w:val="center"/>
        <w:outlineLvl w:val="0"/>
      </w:pPr>
      <w:bookmarkStart w:id="0" w:name="_GoBack"/>
      <w:bookmarkEnd w:id="0"/>
      <w:r>
        <w:t>ДУМА БЕЛОЯРСКОГО РАЙОНА</w:t>
      </w:r>
    </w:p>
    <w:p w:rsidR="00D610D3" w:rsidRDefault="00D610D3" w:rsidP="00D610D3">
      <w:pPr>
        <w:pStyle w:val="ConsPlusTitle"/>
        <w:jc w:val="center"/>
      </w:pPr>
    </w:p>
    <w:p w:rsidR="00D610D3" w:rsidRDefault="00D610D3" w:rsidP="00D610D3">
      <w:pPr>
        <w:pStyle w:val="ConsPlusTitle"/>
        <w:jc w:val="center"/>
      </w:pPr>
      <w:r>
        <w:t>РЕШЕНИЕ</w:t>
      </w:r>
    </w:p>
    <w:p w:rsidR="00D610D3" w:rsidRDefault="00D610D3" w:rsidP="00D610D3">
      <w:pPr>
        <w:pStyle w:val="ConsPlusTitle"/>
        <w:jc w:val="center"/>
      </w:pPr>
      <w:r>
        <w:t>от 29 ноября 2019 г. N 63</w:t>
      </w:r>
    </w:p>
    <w:p w:rsidR="00D610D3" w:rsidRDefault="00D610D3" w:rsidP="00D610D3">
      <w:pPr>
        <w:pStyle w:val="ConsPlusTitle"/>
        <w:jc w:val="center"/>
      </w:pPr>
    </w:p>
    <w:p w:rsidR="00D610D3" w:rsidRDefault="00D610D3" w:rsidP="00D610D3">
      <w:pPr>
        <w:pStyle w:val="ConsPlusTitle"/>
        <w:jc w:val="center"/>
      </w:pPr>
      <w:r>
        <w:t>О БЮДЖЕТЕ БЕЛОЯРСКОГО РАЙОНА НА 2020 ГОД И ПЛАНОВЫЙ ПЕРИОД</w:t>
      </w:r>
    </w:p>
    <w:p w:rsidR="00D610D3" w:rsidRDefault="00D610D3" w:rsidP="00D610D3">
      <w:pPr>
        <w:pStyle w:val="ConsPlusTitle"/>
        <w:jc w:val="center"/>
      </w:pPr>
      <w:r>
        <w:t>2021 И 2022 ГОДОВ</w:t>
      </w:r>
    </w:p>
    <w:p w:rsidR="00D610D3" w:rsidRDefault="00D610D3" w:rsidP="00D610D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D610D3" w:rsidTr="007A110A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610D3" w:rsidRDefault="00D610D3" w:rsidP="007A11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610D3" w:rsidRDefault="00D610D3" w:rsidP="007A110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D610D3" w:rsidRDefault="00D610D3" w:rsidP="00D610D3">
      <w:pPr>
        <w:pStyle w:val="ConsPlusNormal"/>
        <w:jc w:val="both"/>
      </w:pPr>
    </w:p>
    <w:p w:rsidR="00D610D3" w:rsidRDefault="00D610D3" w:rsidP="00D610D3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 от 31 июля 1998 года N 145-ФЗ (далее - Бюджетный кодекс Российской Федерации), </w:t>
      </w:r>
      <w:hyperlink r:id="rId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Югре", </w:t>
      </w:r>
      <w:hyperlink r:id="rId7" w:history="1">
        <w:r>
          <w:rPr>
            <w:color w:val="0000FF"/>
          </w:rPr>
          <w:t>Уставом</w:t>
        </w:r>
      </w:hyperlink>
      <w:r>
        <w:t xml:space="preserve"> Белоярского района, </w:t>
      </w:r>
      <w:hyperlink r:id="rId8" w:history="1">
        <w:r>
          <w:rPr>
            <w:color w:val="0000FF"/>
          </w:rPr>
          <w:t>решением</w:t>
        </w:r>
      </w:hyperlink>
      <w:r>
        <w:t xml:space="preserve"> Думы Белоярского района от 5 октября 2007 года N 49 "Об утверждении Положения об отдельных вопросах организации и осуществления бюджетного процесса в Белоярском районе" Дума Белоярского района решила: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Белоярского района (далее - бюджет района) на 2020 год: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w:anchor="P144" w:history="1">
        <w:r>
          <w:rPr>
            <w:color w:val="0000FF"/>
          </w:rPr>
          <w:t>доходов</w:t>
        </w:r>
      </w:hyperlink>
      <w:r>
        <w:t xml:space="preserve"> бюджета района в сумме 4218439109,75 рублей, в том числе безвозмездные поступления в сумме 3532741709,75 рублей, согласно приложению 1 к настоящему решению;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9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2) общий объем расходов бюджета района в сумме 4639614980,60 рублей;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0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прогнозируемый дефицит бюджета района в сумме 421175870,85 рублей;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1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4) верхний </w:t>
      </w:r>
      <w:hyperlink w:anchor="P541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2021 года в сумме 300681821,00 рубль, в том числе верхний предел долга по муниципальным гарантиям - 0,00 рублей, согласно приложению 2 к настоящему решению;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2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5) предельный объем муниципального долга Белоярского района на 2020 год в сумме 566 366 100,00 рублей.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района на плановый период 2021 и 2022 годов: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прогнозируемый общий объем </w:t>
      </w:r>
      <w:hyperlink w:anchor="P584" w:history="1">
        <w:r>
          <w:rPr>
            <w:color w:val="0000FF"/>
          </w:rPr>
          <w:t>доходов</w:t>
        </w:r>
      </w:hyperlink>
      <w:r>
        <w:t xml:space="preserve"> бюджета района на 2021 год в сумме 3 438 270 200,00 рублей и на 2022 год в сумме 3 578 247 900,00 рублей, в том числе безвозмездные поступления на 2021 год в сумме 2 760 853 300,00 рублей и на 2022 год в сумме 2 892 618 600,00 рублей, согласно приложению 3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2) общий объем расходов бюджета района на 2021 год в сумме 3 495 581 700,00 рублей, в том числе условно утверждаемые расходы в сумме 29 411 700,00 рублей и на 2022 год в сумме 3 635 979 600,00 рублей, в том числе условно утверждаемые расходы в сумме 58 844 700,00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прогнозируемый дефицит бюджета района на 2021 год в сумме 57 311 500,00 рублей и на 2022 год в сумме 57 731 700,00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lastRenderedPageBreak/>
        <w:t xml:space="preserve">4) верхний </w:t>
      </w:r>
      <w:hyperlink w:anchor="P541" w:history="1">
        <w:r>
          <w:rPr>
            <w:color w:val="0000FF"/>
          </w:rPr>
          <w:t>предел</w:t>
        </w:r>
      </w:hyperlink>
      <w:r>
        <w:t xml:space="preserve"> муниципального внутреннего долга Белоярского района на 1 января 2022 года в сумме 312708495,00 рублей и на 1 января 2023 года в сумме 325217075,00 рублей, в том числе верхний предел долга по муниципальным гарантиям в плановом периоде 2021 и 2022 годах - 0,00 рублей, согласно приложению 2 к настоящему решению;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3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5) предельный объем муниципального долга Белоярского района на 2021 год в сумме 573 114 600,00 рублей и на 2022 год в сумме 577 316 700,00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6) объем расходов на обслуживание муниципального долга Белоярского района на 2020 год в сумме 173 000,00 рублей и плановый период 2021 и 2022 годов в сумме 180 000,00 рублей и 187 000,00 рублей соответственно.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3. Утвердить источники внутреннего финансирования дефицита бюджета района на 2020 год согласно </w:t>
      </w:r>
      <w:hyperlink w:anchor="P1054" w:history="1">
        <w:r>
          <w:rPr>
            <w:color w:val="0000FF"/>
          </w:rPr>
          <w:t>приложению 4</w:t>
        </w:r>
      </w:hyperlink>
      <w:r>
        <w:t xml:space="preserve"> и плановый период 2021 и 2022 годов согласно </w:t>
      </w:r>
      <w:hyperlink w:anchor="P1108" w:history="1">
        <w:r>
          <w:rPr>
            <w:color w:val="0000FF"/>
          </w:rPr>
          <w:t>приложению 5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4. Учесть, что доходы бюджета района формируются в соответствии с действующим законодательством за счет федеральных, региональных, местных налогов и сборов, налогов, предусмотренных специальными налоговыми режимами, неналоговых доходов, а также доходов в соответствии с нормативами отчислений согласно </w:t>
      </w:r>
      <w:hyperlink r:id="rId14" w:history="1">
        <w:r>
          <w:rPr>
            <w:color w:val="0000FF"/>
          </w:rPr>
          <w:t>Закону</w:t>
        </w:r>
      </w:hyperlink>
      <w:r>
        <w:t xml:space="preserve"> Ханты-Мансийского автономного округа - Югры от 21 ноября 2019 года N 75-оз "О бюджете Ханты-Мансийского автономного округа - Югры на 2020 год и на плановый период 2021 и 2022 годов", </w:t>
      </w:r>
      <w:hyperlink r:id="rId15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10 ноября 2008 года N 132-оз "О межбюджетных отношениях в Ханты-Мансийском автономном округе - Югре".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w:anchor="P1177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2020 год и плановый период 2021 и 2022 годов согласно приложению 6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6. Утвердить </w:t>
      </w:r>
      <w:hyperlink w:anchor="P1773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2020 год и плановый период 2021 и 2022 годов, администрирование которых осуществляют территориальные органы исполнительной власти Российской Федерации, согласно приложению 7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7. Утвердить </w:t>
      </w:r>
      <w:hyperlink w:anchor="P1929" w:history="1">
        <w:r>
          <w:rPr>
            <w:color w:val="0000FF"/>
          </w:rPr>
          <w:t>перечень</w:t>
        </w:r>
      </w:hyperlink>
      <w:r>
        <w:t xml:space="preserve"> главных администраторов доходов бюджета района на 2020 год и плановый период 2021 и 2022 годов, администрирование которых осуществляют органы исполнительной власти Ханты-Мансийского автономного округа - Югры (далее - автономный округ), согласно приложению 8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8. Утвердить </w:t>
      </w:r>
      <w:hyperlink w:anchor="P1977" w:history="1">
        <w:r>
          <w:rPr>
            <w:color w:val="0000FF"/>
          </w:rPr>
          <w:t>перечень</w:t>
        </w:r>
      </w:hyperlink>
      <w:r>
        <w:t xml:space="preserve"> главных администраторов источников финансирования дефицита бюджета района на 2020 год и плановый период 2021 и 2022 годов согласно приложению 9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9. Установить, что в случае изменения в 2020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классификации источников финансирования дефицита бюджета района внесение изменений в утвержденные перечни главных администраторов доходов бюджета района и перечень главных администраторов источников финансирования дефицита бюджета района, а также в состав закрепленных за ними кодов классификации доходов бюджета района или классификации источников финансирования дефицита бюджета района осуществляется правовым актом Комитета по финансам и налоговой политике администрации Белоярского района (далее - Комитет по финансам) без внесения изменений в решение о бюджете.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lastRenderedPageBreak/>
        <w:t>Главные администраторы администрируемых доходов бюджета района осуществляют начисление, учет и контроль за правильностью исчисления, полнотой и своевременностью уплаты платежей, подлежащих зачислению в бюджет района, а также производят взыскание задолженности и принимают решения о возврате (зачете) излишне уплаченных (взысканных) платежей, пеней и штрафов по ним в соответствии с порядком документооборота по начислению, учету и возврату платежей.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10. Установить, что в случае поступления в доход бюджета района безвозмездных поступлений из бюджета автономного округа и (или) безвозмездных поступлений от физических и юридических лиц, сверх прогнозируемых объемов, утвержденных решением о бюджете, а также в случае сокращения (возврата при отсутствии потребности) указанных средств Комитет по финансам, в рамках переданных полномочий, вправе вносить соответствующие изменения в прогнозируемые объемы доходов по кодам классификации доходов бюджета района, закрепленных за главными администраторами (администраторами) доходов бюджета района с последующим внесением изменений в настоящее решение.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11. Установить, что муниципальные унитарные предприятия Белоярского района ежегодно перечисляют в бюджет района часть прибыли, остающейся в их распоряжении после уплаты налогов и иных обязательных платежей, в размерах, определяемых в порядке, установленном Думой Белоярского района от 3 октября 2018 года N 45 "Об утверждении Порядка определения и перечисления в бюджет Белоярского района части прибыли, оставшейся в распоряжении муниципальных унитарных предприятий Белоярского района после уплаты налогов и иных обязательных платежей".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12. Утвердить объем дотаций бюджету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1) дотации на выравнивание бюджетной обеспеченности муниципальных районов (городских округов) на 2020 год в сумме 477 325 000,00 рублей, на 2021 год в сумме 417 209 400,00 рублей и на 2022 год в сумме 433 250 400,00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2) дотации местным бюджетам на поддержку мер по обеспечению сбалансированности местных бюджетов на 2020 год в сумме 10 831 500,00 рублей, на 2021 год в сумме 0,00 рублей и на 2022 год в сумме 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13. Установить, что 20 процентов дотации на выравнивание бюджетной обеспеченности муниципальных районов (городских округов) предоставляется в виде дополнительных нормативов отчислений от налога на доходы физических лиц на 2020 год - 7,50 процентов, в сумме 119 331 300,00 рублей, на 2021 год - 6,49 процентов в сумме 104 302 300,00 рублей, на 2022 год - 6,67 процентов в сумме 108 312 600,00 рублей.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14. Утвердить объем и распределение субсидий бюджету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в сумме 1433835796,00 рублей согласно </w:t>
      </w:r>
      <w:hyperlink w:anchor="P2045" w:history="1">
        <w:r>
          <w:rPr>
            <w:color w:val="0000FF"/>
          </w:rPr>
          <w:t>приложению 10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6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2021 год в сумме 771 482 300,00 рублей и на 2022 год в сумме 909 822 400,00 рублей согласно </w:t>
      </w:r>
      <w:hyperlink w:anchor="P2141" w:history="1">
        <w:r>
          <w:rPr>
            <w:color w:val="0000FF"/>
          </w:rPr>
          <w:t>приложению 11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15. Утвердить объем и распределение субвенций бюджету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в сумме 1 435 195 600,00 рублей согласно </w:t>
      </w:r>
      <w:hyperlink w:anchor="P2266" w:history="1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2021 год в сумме 1 417 643 000,00 рублей и на 2022 год в сумме 1 397 181 300,00 рублей согласно </w:t>
      </w:r>
      <w:hyperlink w:anchor="P2376" w:history="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lastRenderedPageBreak/>
        <w:t>16. Утвердить общий объем иных межбюджетных трансфертов бюджету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1) на 2020 год в сумме 156972944,43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150971144,43 рубля;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7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2) на 2021 год в сумме 154 518 600,00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148 511 500,00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на 2022 год в сумме 152 364 500,00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146 349 400,00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Утвердить распределение иных межбюджетных трансфертов бюджету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w:anchor="P2518" w:history="1">
        <w:r>
          <w:rPr>
            <w:color w:val="0000FF"/>
          </w:rPr>
          <w:t>приложению 14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w:anchor="P2561" w:history="1">
        <w:r>
          <w:rPr>
            <w:color w:val="0000FF"/>
          </w:rPr>
          <w:t>приложению 15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17.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w:anchor="P2607" w:history="1">
        <w:r>
          <w:rPr>
            <w:color w:val="0000FF"/>
          </w:rPr>
          <w:t>приложению 16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w:anchor="P13004" w:history="1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18.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w:anchor="P23224" w:history="1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w:anchor="P28983" w:history="1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19. Утвердить распределение бюджетных ассигнований по разделам и подразделам классификации расходов бюджета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w:anchor="P34819" w:history="1">
        <w:r>
          <w:rPr>
            <w:color w:val="0000FF"/>
          </w:rPr>
          <w:t>приложению 20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w:anchor="P35068" w:history="1">
        <w:r>
          <w:rPr>
            <w:color w:val="0000FF"/>
          </w:rPr>
          <w:t>приложению 21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20. Утвердить ведомственную структуру расходов бюджета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w:anchor="P35376" w:history="1">
        <w:r>
          <w:rPr>
            <w:color w:val="0000FF"/>
          </w:rPr>
          <w:t>приложению 22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w:anchor="P50609" w:history="1">
        <w:r>
          <w:rPr>
            <w:color w:val="0000FF"/>
          </w:rPr>
          <w:t>приложению 23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21. Утвердить объем средств муниципального дорожного фонда Белоярского района (далее - дорожный фонд):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1) на 2020 год в сумме 59630193,56 рубля;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8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lastRenderedPageBreak/>
        <w:t>2) на 2021 год в сумме 57 681 000,00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на 2022 год в сумме 57 681 000,00 рублей.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67355" w:history="1">
        <w:r>
          <w:rPr>
            <w:color w:val="0000FF"/>
          </w:rPr>
          <w:t>источники</w:t>
        </w:r>
      </w:hyperlink>
      <w:r>
        <w:t xml:space="preserve"> формирования дорожного фонда Белоярского района на 2020 год и плановый период 2021 и 2022 годов согласно приложению 24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22. Утвердить в составе расходов бюджета района резервный фонд администрации района (далее - администрация района) на 2020 год в сумме 500 000,00 рублей, на 2021 год в сумме 500 000,00 рублей, на 2022 год в сумме 500 000,00 рублей. Выделение и использование бюджетных ассигнований резервного фонда администрации района определяется в порядке, установленном постановлением администрации района.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зарезервированные, на 2020 год, в сумме 65593309,87 рублей, на 2021 год 2 759 000,00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района.</w:t>
      </w:r>
    </w:p>
    <w:p w:rsidR="00D610D3" w:rsidRDefault="00D610D3" w:rsidP="00D610D3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23. Утвердить общий объем бюджетных ассигнований на исполнение публичных нормативных обязательств на 2020 год в сумме 24 861 800,00 рублей, на 2021 год в сумме 21 485 300,00 рублей, на 2022 год в сумме 21 525 500,00 рублей.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24. Утвердить общий объем межбюджетных трансфертов бюджетам поселений Белоярского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1) на 2020 год в сумме 147111053,24 рубля;</w:t>
      </w:r>
    </w:p>
    <w:p w:rsidR="00D610D3" w:rsidRDefault="00D610D3" w:rsidP="00D610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0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2) на 2021 год в сумме 138 405 500,00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на 2022 год в сумме 140 362 700,00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Утвердить распределение межбюджетных трансфертов бюджетам поселений Белоярского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1) на 2020 год согласно </w:t>
      </w:r>
      <w:hyperlink w:anchor="P67413" w:history="1">
        <w:r>
          <w:rPr>
            <w:color w:val="0000FF"/>
          </w:rPr>
          <w:t>приложению 25</w:t>
        </w:r>
      </w:hyperlink>
      <w:r>
        <w:t xml:space="preserve"> к настоящему решению;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на плановый период 2021 и 2022 годов согласно </w:t>
      </w:r>
      <w:hyperlink w:anchor="P67555" w:history="1">
        <w:r>
          <w:rPr>
            <w:color w:val="0000FF"/>
          </w:rPr>
          <w:t>приложению 26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25. Утвердить объем дотации на выравнивание бюджетной обеспеченности поселений из бюджета района: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1) на 2020 год в сумме 117 907 800,00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2) на 2021 год в сумме 117 928 000,00 рублей;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на 2022 год в сумме 117 940 700,00 рублей.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В общем объеме дотации на выравнивание бюджетной обеспеченности поселений из бюджета района собственные средства бюджета района предусмотрены в размере 0,3 процента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2020 год и плановый период 2021 и 2022 годов, ежегодно.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Утвердить распределение дотаций на выравнивание бюджетной обеспеченности поселений из </w:t>
      </w:r>
      <w:r>
        <w:lastRenderedPageBreak/>
        <w:t xml:space="preserve">районного фонда финансовой поддержки поселений Белоярского района на 2020 год согласно </w:t>
      </w:r>
      <w:hyperlink w:anchor="P67782" w:history="1">
        <w:r>
          <w:rPr>
            <w:color w:val="0000FF"/>
          </w:rPr>
          <w:t>приложению 27</w:t>
        </w:r>
      </w:hyperlink>
      <w:r>
        <w:t xml:space="preserve"> к настоящему решению, на плановый период 2021 и 2022 годов согласно </w:t>
      </w:r>
      <w:hyperlink w:anchor="P67858" w:history="1">
        <w:r>
          <w:rPr>
            <w:color w:val="0000FF"/>
          </w:rPr>
          <w:t>приложению 28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26. Распределение межбюджетных трансфертов бюджетам поселений Белоярского района (за исключением межбюджетных трансфертов, распределение которых утверждено </w:t>
      </w:r>
      <w:hyperlink w:anchor="P67782" w:history="1">
        <w:r>
          <w:rPr>
            <w:color w:val="0000FF"/>
          </w:rPr>
          <w:t>приложениями 27</w:t>
        </w:r>
      </w:hyperlink>
      <w:r>
        <w:t xml:space="preserve"> и </w:t>
      </w:r>
      <w:hyperlink w:anchor="P67858" w:history="1">
        <w:r>
          <w:rPr>
            <w:color w:val="0000FF"/>
          </w:rPr>
          <w:t>28</w:t>
        </w:r>
      </w:hyperlink>
      <w:r>
        <w:t xml:space="preserve"> к настоящему решению) осуществляется в соответствии с порядком, установленным решением Думы Белоярского района.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27. Бюджетные инвестиции в объекты капитального строительства и на приобретение социальных объектов недвижимого имущества муниципальной собственности осуществляются в соответствии с муниципальными программами Белоярского района и порядком, установленным постановлением администрации района.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27.1. Установить, что предоставление бюджетных инвестиций юридическим лицам, не являющимся муниципальными или муниципальными унитарными предприятиями, в соответствии со </w:t>
      </w:r>
      <w:hyperlink r:id="rId21" w:history="1">
        <w:r>
          <w:rPr>
            <w:color w:val="0000FF"/>
          </w:rPr>
          <w:t>статьей 80</w:t>
        </w:r>
      </w:hyperlink>
      <w:r>
        <w:t xml:space="preserve"> Бюджетного кодекса Российской Федерации, осуществляется согласно </w:t>
      </w:r>
      <w:hyperlink w:anchor="P68273" w:history="1">
        <w:r>
          <w:rPr>
            <w:color w:val="0000FF"/>
          </w:rPr>
          <w:t>приложению 32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jc w:val="both"/>
      </w:pPr>
      <w:r>
        <w:t xml:space="preserve">(п. 27.1 введен </w:t>
      </w:r>
      <w:hyperlink r:id="rId22" w:history="1">
        <w:r>
          <w:rPr>
            <w:color w:val="0000FF"/>
          </w:rPr>
          <w:t>решением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28. Установить, что в соответствии со </w:t>
      </w:r>
      <w:hyperlink r:id="rId23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2020 год и плановый период 2021 и 2022 годов, в случаях и </w:t>
      </w:r>
      <w:hyperlink w:anchor="P67978" w:history="1">
        <w:r>
          <w:rPr>
            <w:color w:val="0000FF"/>
          </w:rPr>
          <w:t>объеме</w:t>
        </w:r>
      </w:hyperlink>
      <w:r>
        <w:t>, согласно приложению 29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Предоставление субсидий осуществляется в пределах бюджетных ассигнований, предусмотренных настоящим решением, на основании договоров, заключаемых между администрацией района и получателями указанных субсидий в порядке, установленном постановлениями администрации района.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4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в составе расходов бюджета района предусмотрены средства на предоставление субсидий некоммерческим организациям, не являющимся государственными (муниципальными) учреждениями. Предоставление субсидий осуществляется в пределах соответствующих бюджетных ассигнований, предусмотренных настоящим решением, в порядке, установленном постановлением администрации района.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29. Комитет по финансам в соответствии с </w:t>
      </w:r>
      <w:hyperlink r:id="rId25" w:history="1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 вправе вносить изменения в показатели сводной бюджетной росписи бюджета района, связанные с особенностями исполнения бюджета района, без внесения изменений в настоящее решение, по следующим случаям и основаниям: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1) перераспределение субвенций, субсидий и иных межбюджетных трансфертов, имеющих целевое назначение, по муниципальным программам, главным распорядителям средств бюджета района и поселениям Белоярского района;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2) перераспределение бюджетных ассигнований на социально значимые расходы, на обеспечение доли </w:t>
      </w:r>
      <w:proofErr w:type="spellStart"/>
      <w:r>
        <w:t>софинансирования</w:t>
      </w:r>
      <w:proofErr w:type="spellEnd"/>
      <w:r>
        <w:t xml:space="preserve"> бюджета района при участии в государственных программах автономного округа и в иных случаях по распоряжению администрации района, зарезервированных в рамках основного мероприятия "Управление резервными средствами бюджета Белоярского района" </w:t>
      </w:r>
      <w:r>
        <w:lastRenderedPageBreak/>
        <w:t>муниципальной программы Белоярского района "Управление муниципальными финансами в Белоярском районе на 2019 - 2024 годы", между главными распорядителями, получателями средств бюджета района, разделами, подразделами, целевыми статьями и видами расходов бюджета";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 между главными распорядителями средств на финансовое обеспечение передаваемого имущества, штатной численности;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4) перераспределение бюджетных ассигнований за счет средств бюджета района между подпрограммами (мероприятиями) муниципальных программ Белоярского района, а также между ее исполнителями;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по разделам, подразделам, целевым статьям и видам расходов классификации расходов, в пределах общего объема бюджетных ассигнований, предусмотренных главному распорядителю средств бюджета в текущем финансовом году;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6) уменьшение бюджетных ассигнований на сумму, израсходованную получателями бюджетных средств незаконно или не по целевому назначению по предписаниям контрольных органов автономного округа и Белоярского района;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7) изменение бюджетной классификации расходов бюджета без изменения целевого направления средств;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8) изменение бюджетных ассигнований на основании уведомлений о предоставлении межбюджетных трансфертов из бюджета автономного округа, не имеющих целевого назначения;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9) увеличение бюджетных ассигнований на сумму не использованных по состоянию на начало текущего финансового года остатков средств дорожного фонда района для последующего использования на те же цели;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10) распределение бюджетных ассигнований за счет остатков средств бюджета района на начало текущего финансового года в объеме, определенном решением Думы Белоярского района,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товаров, выполнение работ, оказание услуг, подлежавших оплате, в соответствии с условиями этих муниципальных контрактов, в отчетном финансовом году, в объеме, не превышающем сумму остатка неиспользованных бюджетных ассигнований на указанные цели.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30. Открытие и ведение лицевых счетов автономных учреждений, созданных на базе имущества, находящегося в собственности Белоярского района, осуществляется в Комитете по финансам в установленном им порядке.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31. Установить, что не использованные на начало текущего финансового года остатки межбюджетных трансфертов, полученные бюджетом района из бюджета автономного округа в форме субсидий, субвенций и иных межбюджетных трансфертов, имеющих целевое назначение, подлежат возврату в бюджет автономного округа в 2020 году, в порядке, установленном Правительством автономного округа, в течение первых: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5 рабочих дней - средства федерального бюджета;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15 рабочих дней - средства бюджета автономного округа.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32. Установить, что органы местного самоуправления Белоярского района не должны принимать решения, приводящие к увеличению в 2020 году численности работников органов местного самоуправления Белоярского района (за исключением случаев принятия решений по перераспределению полномочий или наделению ими) и муниципальных учреждений (за </w:t>
      </w:r>
      <w:r>
        <w:lastRenderedPageBreak/>
        <w:t>исключением случаев принятия решений по перераспределению полномочий или наделению ими, ввода (приобретения) новых муниципальных объектов капитального строительства).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Рекомендовать органам местного самоуправления городского и сельских поселений в границах Белоярского района принять аналогичные решения.</w:t>
      </w:r>
    </w:p>
    <w:p w:rsidR="00D610D3" w:rsidRDefault="00D610D3" w:rsidP="00D610D3">
      <w:pPr>
        <w:pStyle w:val="ConsPlusNormal"/>
        <w:jc w:val="both"/>
      </w:pPr>
      <w:r>
        <w:t xml:space="preserve">(п. 32 в ред. </w:t>
      </w:r>
      <w:hyperlink r:id="rId26" w:history="1">
        <w:r>
          <w:rPr>
            <w:color w:val="0000FF"/>
          </w:rPr>
          <w:t>решения</w:t>
        </w:r>
      </w:hyperlink>
      <w:r>
        <w:t xml:space="preserve"> Думы Белоярского района от 13.02.2020 N 4)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33. В 2020 году и в плановом периоде 2021 и 2020 годов предусмотрено предоставление бюджетного кредита из бюджета автономного округа Белоярскому району для досрочного завоза продукции (товаров) в связи с ограниченными сроками доставки на срок до одного года, в пределах общего объема ассигнований, предусмотренных в составе источников финансирования дефицита бюджета района согласно </w:t>
      </w:r>
      <w:hyperlink w:anchor="P1054" w:history="1">
        <w:r>
          <w:rPr>
            <w:color w:val="0000FF"/>
          </w:rPr>
          <w:t>приложениям 4</w:t>
        </w:r>
      </w:hyperlink>
      <w:r>
        <w:t xml:space="preserve">, </w:t>
      </w:r>
      <w:hyperlink w:anchor="P1108" w:history="1">
        <w:r>
          <w:rPr>
            <w:color w:val="0000FF"/>
          </w:rPr>
          <w:t>5</w:t>
        </w:r>
      </w:hyperlink>
      <w:r>
        <w:t xml:space="preserve">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Бюджетный кредит Белоярскому району предоставляется на условиях целевого использования, </w:t>
      </w:r>
      <w:proofErr w:type="spellStart"/>
      <w:r>
        <w:t>возмездности</w:t>
      </w:r>
      <w:proofErr w:type="spellEnd"/>
      <w:r>
        <w:t xml:space="preserve"> (по процентным кредитам), срочности, возвратности.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Бюджетный кредит Белоярскому району для досрочного завоза продукции (товаров) в связи с ограниченными сроками доставки в районы автономного округа предоставляется на условиях оплаты процентов за пользование кредитом в размере 0,1 процента годовых.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Срок возврата бюджетного кредита, предоставленного из бюджета автономного округа, не может превышать один год с момента его получения.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Учесть, что финансирование расходов для целей досрочного завоза продукции (товаров)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кредита, заключенным между Департаментом финансов автономного округа и администрацией района.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34. Утвердить </w:t>
      </w:r>
      <w:hyperlink w:anchor="P68175" w:history="1">
        <w:r>
          <w:rPr>
            <w:color w:val="0000FF"/>
          </w:rPr>
          <w:t>программу</w:t>
        </w:r>
      </w:hyperlink>
      <w:r>
        <w:t xml:space="preserve"> муниципальных внутренних заимствований Белоярского района на 2020 год и плановый период 2021 и 2022 годов согласно приложению 30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 xml:space="preserve">35. Утвердить </w:t>
      </w:r>
      <w:hyperlink w:anchor="P68242" w:history="1">
        <w:r>
          <w:rPr>
            <w:color w:val="0000FF"/>
          </w:rPr>
          <w:t>перечень</w:t>
        </w:r>
      </w:hyperlink>
      <w:r>
        <w:t xml:space="preserve"> главных распорядителей средств бюджета района на 2020 год и плановый период 2021 и 2022 годов согласно приложению 31 к настоящему решению.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36. Опубликовать настоящее решение в газете "Белоярские вести. Официальный выпуск".</w:t>
      </w:r>
    </w:p>
    <w:p w:rsidR="00D610D3" w:rsidRDefault="00D610D3" w:rsidP="00D610D3">
      <w:pPr>
        <w:pStyle w:val="ConsPlusNormal"/>
        <w:spacing w:before="220"/>
        <w:ind w:firstLine="540"/>
        <w:jc w:val="both"/>
      </w:pPr>
      <w:r>
        <w:t>37. Настоящее решение вступает в силу после официального опубликования, но не ранее 1 января 2020 года.</w:t>
      </w:r>
    </w:p>
    <w:p w:rsidR="00D610D3" w:rsidRDefault="00D610D3" w:rsidP="00D610D3">
      <w:pPr>
        <w:pStyle w:val="ConsPlusNormal"/>
        <w:jc w:val="both"/>
      </w:pPr>
    </w:p>
    <w:p w:rsidR="00D610D3" w:rsidRDefault="00D610D3" w:rsidP="00D610D3">
      <w:pPr>
        <w:pStyle w:val="ConsPlusNormal"/>
        <w:jc w:val="right"/>
      </w:pPr>
      <w:r>
        <w:t>Председатель Думы Белоярского района</w:t>
      </w:r>
    </w:p>
    <w:p w:rsidR="00D610D3" w:rsidRDefault="00D610D3" w:rsidP="00D610D3">
      <w:pPr>
        <w:pStyle w:val="ConsPlusNormal"/>
        <w:jc w:val="right"/>
      </w:pPr>
      <w:r>
        <w:t>С.И.БУЛЫЧЕВ</w:t>
      </w:r>
    </w:p>
    <w:p w:rsidR="00D610D3" w:rsidRDefault="00D610D3" w:rsidP="00D610D3">
      <w:pPr>
        <w:pStyle w:val="ConsPlusNormal"/>
        <w:jc w:val="both"/>
      </w:pPr>
    </w:p>
    <w:p w:rsidR="00D610D3" w:rsidRDefault="00D610D3" w:rsidP="00D610D3">
      <w:pPr>
        <w:pStyle w:val="ConsPlusNormal"/>
        <w:jc w:val="right"/>
      </w:pPr>
      <w:r>
        <w:t>Глава Белоярского района</w:t>
      </w:r>
    </w:p>
    <w:p w:rsidR="00D610D3" w:rsidRDefault="00D610D3" w:rsidP="00D610D3">
      <w:pPr>
        <w:pStyle w:val="ConsPlusNormal"/>
        <w:jc w:val="right"/>
      </w:pPr>
      <w:r>
        <w:t>С.П.МАНЕНКОВ</w:t>
      </w:r>
    </w:p>
    <w:p w:rsidR="00DF1DFE" w:rsidRDefault="00DF1DFE"/>
    <w:sectPr w:rsidR="00DF1DFE" w:rsidSect="00AE048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D3"/>
    <w:rsid w:val="007B168A"/>
    <w:rsid w:val="00AE048B"/>
    <w:rsid w:val="00D610D3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3FBAF-7F3D-46F9-A621-F0D42517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5BB5962DE56A94152DFA5F4E53D9BACFCB8592C09706F7D9A37019F5BA9C92610955E84F94ACF000546C86ADC583A83E7915807D248587712586DCoAI0E" TargetMode="External"/><Relationship Id="rId13" Type="http://schemas.openxmlformats.org/officeDocument/2006/relationships/hyperlink" Target="consultantplus://offline/ref=4A5BB5962DE56A94152DFA5F4E53D9BACFCB8592C09604F0D8A27019F5BA9C92610955E84F94ACF000546E83AEC583A83E7915807D248587712586DCoAI0E" TargetMode="External"/><Relationship Id="rId18" Type="http://schemas.openxmlformats.org/officeDocument/2006/relationships/hyperlink" Target="consultantplus://offline/ref=4A5BB5962DE56A94152DFA5F4E53D9BACFCB8592C09604F0D8A27019F5BA9C92610955E84F94ACF000546E83A8C583A83E7915807D248587712586DCoAI0E" TargetMode="External"/><Relationship Id="rId26" Type="http://schemas.openxmlformats.org/officeDocument/2006/relationships/hyperlink" Target="consultantplus://offline/ref=4A5BB5962DE56A94152DFA5F4E53D9BACFCB8592C09604F0D8A27019F5BA9C92610955E84F94ACF000546E80ABC583A83E7915807D248587712586DCoAI0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A5BB5962DE56A94152DE452583F8EB5CAC5DA9FC1960FA181FF764EAAEA9AC7214953BD0CD3A0F5025F3AD3EB9BDAF87832188461388580o6IFE" TargetMode="External"/><Relationship Id="rId7" Type="http://schemas.openxmlformats.org/officeDocument/2006/relationships/hyperlink" Target="consultantplus://offline/ref=4A5BB5962DE56A94152DFA5F4E53D9BACFCB8592C09703FEDCA37019F5BA9C92610955E84F94ACF000556E8AA8C583A83E7915807D248587712586DCoAI0E" TargetMode="External"/><Relationship Id="rId12" Type="http://schemas.openxmlformats.org/officeDocument/2006/relationships/hyperlink" Target="consultantplus://offline/ref=4A5BB5962DE56A94152DFA5F4E53D9BACFCB8592C09604F0D8A27019F5BA9C92610955E84F94ACF000546E83AFC583A83E7915807D248587712586DCoAI0E" TargetMode="External"/><Relationship Id="rId17" Type="http://schemas.openxmlformats.org/officeDocument/2006/relationships/hyperlink" Target="consultantplus://offline/ref=4A5BB5962DE56A94152DFA5F4E53D9BACFCB8592C09604F0D8A27019F5BA9C92610955E84F94ACF000546E83AAC583A83E7915807D248587712586DCoAI0E" TargetMode="External"/><Relationship Id="rId25" Type="http://schemas.openxmlformats.org/officeDocument/2006/relationships/hyperlink" Target="consultantplus://offline/ref=4A5BB5962DE56A94152DE452583F8EB5CAC5DA9FC1960FA181FF764EAAEA9AC7214953B80FD2A8FA54052AD7A2CFD5E77A2906837F38o8I5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A5BB5962DE56A94152DFA5F4E53D9BACFCB8592C09604F0D8A27019F5BA9C92610955E84F94ACF000546E83ACC583A83E7915807D248587712586DCoAI0E" TargetMode="External"/><Relationship Id="rId20" Type="http://schemas.openxmlformats.org/officeDocument/2006/relationships/hyperlink" Target="consultantplus://offline/ref=4A5BB5962DE56A94152DFA5F4E53D9BACFCB8592C09604F0D8A27019F5BA9C92610955E84F94ACF000546E80AFC583A83E7915807D248587712586DCoAI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5BB5962DE56A94152DFA5F4E53D9BACFCB8592C09705F5D5AC7019F5BA9C92610955E85D94F4FC01567082AAD0D5F978o2ICE" TargetMode="External"/><Relationship Id="rId11" Type="http://schemas.openxmlformats.org/officeDocument/2006/relationships/hyperlink" Target="consultantplus://offline/ref=4A5BB5962DE56A94152DFA5F4E53D9BACFCB8592C09604F0D8A27019F5BA9C92610955E84F94ACF000546E82A6C583A83E7915807D248587712586DCoAI0E" TargetMode="External"/><Relationship Id="rId24" Type="http://schemas.openxmlformats.org/officeDocument/2006/relationships/hyperlink" Target="consultantplus://offline/ref=4A5BB5962DE56A94152DE452583F8EB5CAC5DA9FC1960FA181FF764EAAEA9AC7214953BD0CD3A5F2015F3AD3EB9BDAF87832188461388580o6IFE" TargetMode="External"/><Relationship Id="rId5" Type="http://schemas.openxmlformats.org/officeDocument/2006/relationships/hyperlink" Target="consultantplus://offline/ref=4A5BB5962DE56A94152DE452583F8EB5CAC5DA9FC1960FA181FF764EAAEA9AC7214953B50DDBF5A044016383ADD0D7FC642E1883o7IFE" TargetMode="External"/><Relationship Id="rId15" Type="http://schemas.openxmlformats.org/officeDocument/2006/relationships/hyperlink" Target="consultantplus://offline/ref=4A5BB5962DE56A94152DFA5F4E53D9BACFCB8592C09705F5D5AC7019F5BA9C92610955E85D94F4FC01567082AAD0D5F978o2ICE" TargetMode="External"/><Relationship Id="rId23" Type="http://schemas.openxmlformats.org/officeDocument/2006/relationships/hyperlink" Target="consultantplus://offline/ref=4A5BB5962DE56A94152DE452583F8EB5CAC5DA9FC1960FA181FF764EAAEA9AC7214953BD0CD3A2F8055F3AD3EB9BDAF87832188461388580o6IF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A5BB5962DE56A94152DFA5F4E53D9BACFCB8592C09604F0D8A27019F5BA9C92610955E84F94ACF000546E82A7C583A83E7915807D248587712586DCoAI0E" TargetMode="External"/><Relationship Id="rId19" Type="http://schemas.openxmlformats.org/officeDocument/2006/relationships/hyperlink" Target="consultantplus://offline/ref=4A5BB5962DE56A94152DFA5F4E53D9BACFCB8592C09604F0D8A27019F5BA9C92610955E84F94ACF000546E83A6C583A83E7915807D248587712586DCoAI0E" TargetMode="External"/><Relationship Id="rId4" Type="http://schemas.openxmlformats.org/officeDocument/2006/relationships/hyperlink" Target="consultantplus://offline/ref=4A5BB5962DE56A94152DFA5F4E53D9BACFCB8592C09604F0D8A27019F5BA9C92610955E84F94ACF000546E82AAC583A83E7915807D248587712586DCoAI0E" TargetMode="External"/><Relationship Id="rId9" Type="http://schemas.openxmlformats.org/officeDocument/2006/relationships/hyperlink" Target="consultantplus://offline/ref=4A5BB5962DE56A94152DFA5F4E53D9BACFCB8592C09604F0D8A27019F5BA9C92610955E84F94ACF000546E82A9C583A83E7915807D248587712586DCoAI0E" TargetMode="External"/><Relationship Id="rId14" Type="http://schemas.openxmlformats.org/officeDocument/2006/relationships/hyperlink" Target="consultantplus://offline/ref=4A5BB5962DE56A94152DFA5F4E53D9BACFCB8592C0970CF7DAA97019F5BA9C92610955E85D94F4FC01567082AAD0D5F978o2ICE" TargetMode="External"/><Relationship Id="rId22" Type="http://schemas.openxmlformats.org/officeDocument/2006/relationships/hyperlink" Target="consultantplus://offline/ref=4A5BB5962DE56A94152DFA5F4E53D9BACFCB8592C09604F0D8A27019F5BA9C92610955E84F94ACF000546E80ADC583A83E7915807D248587712586DCoAI0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4151</Words>
  <Characters>23665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2020-02-17T09:22:00Z</dcterms:created>
  <dcterms:modified xsi:type="dcterms:W3CDTF">2020-02-17T09:22:00Z</dcterms:modified>
</cp:coreProperties>
</file>